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3E" w:rsidRPr="00163458" w:rsidRDefault="0005083E" w:rsidP="0005083E">
      <w:pPr>
        <w:pStyle w:val="NormalWeb"/>
        <w:shd w:val="clear" w:color="auto" w:fill="FFFFFF"/>
        <w:ind w:left="-851"/>
        <w:rPr>
          <w:b/>
          <w:bCs/>
          <w:color w:val="000000" w:themeColor="text1"/>
          <w:sz w:val="20"/>
          <w:szCs w:val="20"/>
          <w:lang w:val="en-US"/>
        </w:rPr>
      </w:pPr>
      <w:r w:rsidRPr="00163458">
        <w:rPr>
          <w:b/>
          <w:bCs/>
          <w:color w:val="000000" w:themeColor="text1"/>
          <w:sz w:val="20"/>
          <w:szCs w:val="20"/>
          <w:lang w:val="en-US"/>
        </w:rPr>
        <w:t xml:space="preserve">Amendments in the </w:t>
      </w:r>
      <w:r w:rsidR="002C7697" w:rsidRPr="002C7697">
        <w:rPr>
          <w:b/>
          <w:bCs/>
          <w:color w:val="000000" w:themeColor="text1"/>
          <w:sz w:val="20"/>
          <w:szCs w:val="20"/>
          <w:lang w:val="en-US"/>
        </w:rPr>
        <w:t xml:space="preserve">Tariff of Eurobank Bulgaria for </w:t>
      </w:r>
      <w:r w:rsidR="00737C91">
        <w:rPr>
          <w:b/>
          <w:bCs/>
          <w:color w:val="000000" w:themeColor="text1"/>
          <w:sz w:val="20"/>
          <w:szCs w:val="20"/>
          <w:lang w:val="en-US"/>
        </w:rPr>
        <w:t xml:space="preserve">Individuals Tariff, </w:t>
      </w:r>
      <w:r w:rsidRPr="00163458">
        <w:rPr>
          <w:b/>
          <w:bCs/>
          <w:color w:val="000000" w:themeColor="text1"/>
          <w:sz w:val="20"/>
          <w:szCs w:val="20"/>
          <w:lang w:val="en-US"/>
        </w:rPr>
        <w:t>as of 03.08.2015</w:t>
      </w:r>
    </w:p>
    <w:p w:rsidR="002C7697" w:rsidRDefault="002C7697" w:rsidP="004938B8">
      <w:pPr>
        <w:ind w:left="-851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bg-BG"/>
        </w:rPr>
      </w:pPr>
    </w:p>
    <w:p w:rsidR="002C7697" w:rsidRDefault="002C7697" w:rsidP="004938B8">
      <w:pPr>
        <w:ind w:left="-851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bg-BG"/>
        </w:rPr>
      </w:pPr>
    </w:p>
    <w:p w:rsidR="0005083E" w:rsidRPr="00163458" w:rsidRDefault="0005083E" w:rsidP="004938B8">
      <w:pPr>
        <w:ind w:left="-851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bg-BG"/>
        </w:rPr>
      </w:pPr>
      <w:r w:rsidRPr="00163458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bg-BG"/>
        </w:rPr>
        <w:t xml:space="preserve">In section </w:t>
      </w:r>
      <w:r w:rsidRPr="00163458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val="en-US" w:eastAsia="bg-BG"/>
        </w:rPr>
        <w:t>V. Bank cards</w:t>
      </w:r>
    </w:p>
    <w:p w:rsidR="0005083E" w:rsidRPr="00163458" w:rsidRDefault="0005083E" w:rsidP="004938B8">
      <w:pPr>
        <w:ind w:left="-851"/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val="en-US" w:eastAsia="bg-BG"/>
        </w:rPr>
      </w:pPr>
      <w:r w:rsidRPr="00163458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val="en-US" w:eastAsia="bg-BG"/>
        </w:rPr>
        <w:t>The following name of the fee is changed:</w:t>
      </w:r>
    </w:p>
    <w:p w:rsidR="004938B8" w:rsidRPr="00163458" w:rsidRDefault="0005083E" w:rsidP="004938B8">
      <w:pPr>
        <w:ind w:left="-851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bg-BG"/>
        </w:rPr>
      </w:pPr>
      <w:r w:rsidRPr="00163458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bg-BG"/>
        </w:rPr>
        <w:t>Old name:</w:t>
      </w: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951"/>
        <w:gridCol w:w="850"/>
        <w:gridCol w:w="993"/>
        <w:gridCol w:w="1275"/>
        <w:gridCol w:w="993"/>
        <w:gridCol w:w="850"/>
        <w:gridCol w:w="709"/>
        <w:gridCol w:w="1417"/>
        <w:gridCol w:w="851"/>
        <w:gridCol w:w="1559"/>
        <w:gridCol w:w="1134"/>
        <w:gridCol w:w="1134"/>
        <w:gridCol w:w="1134"/>
      </w:tblGrid>
      <w:tr w:rsidR="0061528E" w:rsidRPr="00163458" w:rsidTr="006306FF">
        <w:trPr>
          <w:trHeight w:val="30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528E" w:rsidRPr="00163458" w:rsidRDefault="00F54060" w:rsidP="00630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A Debit cards  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Maestro и Visa</w:t>
            </w:r>
          </w:p>
        </w:tc>
        <w:tc>
          <w:tcPr>
            <w:tcW w:w="878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MasterCard </w:t>
            </w:r>
          </w:p>
        </w:tc>
      </w:tr>
      <w:tr w:rsidR="0061528E" w:rsidRPr="00163458" w:rsidTr="006306FF">
        <w:trPr>
          <w:trHeight w:val="6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Maestro BGN/ EUR</w:t>
            </w: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br/>
              <w:t>Visa Electron BGN/USD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528E" w:rsidRPr="00163458" w:rsidRDefault="0061528E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Maestro </w:t>
            </w:r>
            <w:r w:rsidR="00163458"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Golden time</w:t>
            </w: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br/>
              <w:t xml:space="preserve">Visa Electron </w:t>
            </w:r>
            <w:r w:rsidR="00163458"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Golden time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Visa Classic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Debit MasterCard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528E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Debit MasterCard</w:t>
            </w: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br/>
              <w:t>Golden time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MasterCard Virtual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Debit MasterCard Gold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MasterCard Platinum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Debit MasterCard World</w:t>
            </w:r>
          </w:p>
        </w:tc>
      </w:tr>
      <w:tr w:rsidR="0061528E" w:rsidRPr="00163458" w:rsidTr="006306FF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EUR/ USD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EUR/ 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28E" w:rsidRPr="00163458" w:rsidRDefault="0061528E" w:rsidP="00630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bg-BG"/>
              </w:rPr>
              <w:t> </w:t>
            </w:r>
          </w:p>
        </w:tc>
      </w:tr>
      <w:tr w:rsidR="0061528E" w:rsidRPr="00163458" w:rsidTr="00163458">
        <w:trPr>
          <w:trHeight w:val="83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8E" w:rsidRPr="00163458" w:rsidRDefault="0061528E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8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Credit refund transaction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8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8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8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8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8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8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8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8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1.0% on the amount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8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1.0% on the amount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8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8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8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</w:tr>
    </w:tbl>
    <w:p w:rsidR="0005083E" w:rsidRPr="00163458" w:rsidRDefault="0005083E" w:rsidP="004938B8">
      <w:pPr>
        <w:ind w:left="-851"/>
        <w:rPr>
          <w:rFonts w:ascii="Times New Roman" w:eastAsia="Times New Roman" w:hAnsi="Times New Roman" w:cs="Times New Roman"/>
          <w:color w:val="000000" w:themeColor="text1"/>
          <w:szCs w:val="18"/>
          <w:lang w:val="en-US" w:eastAsia="bg-BG"/>
        </w:rPr>
      </w:pPr>
    </w:p>
    <w:p w:rsidR="00D6507E" w:rsidRPr="00163458" w:rsidRDefault="0005083E" w:rsidP="004938B8">
      <w:pPr>
        <w:ind w:left="-851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bg-BG"/>
        </w:rPr>
      </w:pPr>
      <w:r w:rsidRPr="00163458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bg-BG"/>
        </w:rPr>
        <w:t>New name:</w:t>
      </w: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951"/>
        <w:gridCol w:w="850"/>
        <w:gridCol w:w="993"/>
        <w:gridCol w:w="1275"/>
        <w:gridCol w:w="993"/>
        <w:gridCol w:w="850"/>
        <w:gridCol w:w="709"/>
        <w:gridCol w:w="1417"/>
        <w:gridCol w:w="851"/>
        <w:gridCol w:w="1559"/>
        <w:gridCol w:w="1134"/>
        <w:gridCol w:w="1134"/>
        <w:gridCol w:w="1134"/>
      </w:tblGrid>
      <w:tr w:rsidR="00D6507E" w:rsidRPr="00163458" w:rsidTr="0061528E">
        <w:trPr>
          <w:trHeight w:val="30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507E" w:rsidRPr="00163458" w:rsidRDefault="00F54060" w:rsidP="00D6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 xml:space="preserve">A Debit cards  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507E" w:rsidRPr="00163458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Maestro и Visa</w:t>
            </w:r>
          </w:p>
        </w:tc>
        <w:tc>
          <w:tcPr>
            <w:tcW w:w="878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D6507E" w:rsidRPr="00163458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MasterCard </w:t>
            </w:r>
          </w:p>
        </w:tc>
      </w:tr>
      <w:tr w:rsidR="0061528E" w:rsidRPr="00163458" w:rsidTr="0061528E">
        <w:trPr>
          <w:trHeight w:val="6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507E" w:rsidRPr="00163458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507E" w:rsidRPr="00163458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Maestro BGN/ EUR</w:t>
            </w: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br/>
              <w:t>Visa Electron BGN/USD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507E" w:rsidRPr="00163458" w:rsidRDefault="00D6507E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Maestro </w:t>
            </w:r>
            <w:r w:rsid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Golden time</w:t>
            </w: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br/>
              <w:t xml:space="preserve">Visa Electron </w:t>
            </w:r>
            <w:r w:rsid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Golden time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507E" w:rsidRPr="00163458" w:rsidRDefault="00D6507E" w:rsidP="00D6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Visa Classic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507E" w:rsidRPr="00163458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Debit MasterCard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507E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Debit MasterCard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br/>
              <w:t>Golden time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D6507E" w:rsidRPr="00163458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MasterCard Virtual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507E" w:rsidRPr="00163458" w:rsidRDefault="00D6507E" w:rsidP="00D6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Debit MasterCard Gold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507E" w:rsidRPr="00163458" w:rsidRDefault="00D6507E" w:rsidP="00D6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MasterCard Platinum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D6507E" w:rsidRPr="00163458" w:rsidRDefault="00D6507E" w:rsidP="00D6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Debit MasterCard World</w:t>
            </w:r>
          </w:p>
        </w:tc>
      </w:tr>
      <w:tr w:rsidR="0061528E" w:rsidRPr="00163458" w:rsidTr="00163458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7E" w:rsidRPr="00163458" w:rsidRDefault="00D6507E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D6507E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D6507E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EUR/ USD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D6507E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7E" w:rsidRPr="00163458" w:rsidRDefault="00D6507E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7E" w:rsidRPr="00163458" w:rsidRDefault="00D6507E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D6507E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EUR/ 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D6507E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D6507E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D6507E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7E" w:rsidRPr="00163458" w:rsidRDefault="00D6507E" w:rsidP="00163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63458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7E" w:rsidRPr="00163458" w:rsidRDefault="00D6507E" w:rsidP="00163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63458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07E" w:rsidRPr="00163458" w:rsidRDefault="00D6507E" w:rsidP="00163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63458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 </w:t>
            </w:r>
          </w:p>
        </w:tc>
      </w:tr>
      <w:tr w:rsidR="0061528E" w:rsidRPr="00163458" w:rsidTr="00163458">
        <w:trPr>
          <w:trHeight w:val="83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7E" w:rsidRPr="00163458" w:rsidRDefault="00D6507E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7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Receiving (including return) amounts on card through POS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1.0% on the amount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1.0% on the amount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7E" w:rsidRPr="00163458" w:rsidRDefault="00F54060" w:rsidP="0016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2.0% on the amount</w:t>
            </w:r>
          </w:p>
        </w:tc>
      </w:tr>
    </w:tbl>
    <w:p w:rsidR="00E403F8" w:rsidRPr="00163458" w:rsidRDefault="00E403F8" w:rsidP="004938B8">
      <w:pPr>
        <w:ind w:left="-851"/>
        <w:rPr>
          <w:rFonts w:ascii="Times New Roman" w:eastAsia="Times New Roman" w:hAnsi="Times New Roman" w:cs="Times New Roman"/>
          <w:b/>
          <w:color w:val="000000" w:themeColor="text1"/>
          <w:szCs w:val="18"/>
          <w:lang w:val="en-US" w:eastAsia="bg-BG"/>
        </w:rPr>
      </w:pPr>
    </w:p>
    <w:p w:rsidR="0005083E" w:rsidRDefault="0005083E" w:rsidP="004938B8">
      <w:pPr>
        <w:ind w:left="-851"/>
        <w:rPr>
          <w:rFonts w:ascii="Times New Roman" w:eastAsia="Times New Roman" w:hAnsi="Times New Roman" w:cs="Times New Roman"/>
          <w:b/>
          <w:color w:val="000000" w:themeColor="text1"/>
          <w:szCs w:val="18"/>
          <w:lang w:val="en-US" w:eastAsia="bg-BG"/>
        </w:rPr>
      </w:pPr>
    </w:p>
    <w:p w:rsidR="002B3052" w:rsidRPr="00163458" w:rsidRDefault="002B3052" w:rsidP="004938B8">
      <w:pPr>
        <w:ind w:left="-851"/>
        <w:rPr>
          <w:rFonts w:ascii="Times New Roman" w:eastAsia="Times New Roman" w:hAnsi="Times New Roman" w:cs="Times New Roman"/>
          <w:b/>
          <w:color w:val="000000" w:themeColor="text1"/>
          <w:szCs w:val="18"/>
          <w:lang w:val="en-US" w:eastAsia="bg-BG"/>
        </w:rPr>
      </w:pPr>
    </w:p>
    <w:p w:rsidR="00D6507E" w:rsidRPr="00163458" w:rsidRDefault="0005083E" w:rsidP="004938B8">
      <w:pPr>
        <w:ind w:left="-851"/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val="en-US" w:eastAsia="bg-BG"/>
        </w:rPr>
      </w:pPr>
      <w:r w:rsidRPr="00163458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val="en-US" w:eastAsia="bg-BG"/>
        </w:rPr>
        <w:lastRenderedPageBreak/>
        <w:t>The following fees are added:</w:t>
      </w:r>
    </w:p>
    <w:tbl>
      <w:tblPr>
        <w:tblW w:w="964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920"/>
        <w:gridCol w:w="1780"/>
        <w:gridCol w:w="2020"/>
        <w:gridCol w:w="2200"/>
      </w:tblGrid>
      <w:tr w:rsidR="00BA4840" w:rsidRPr="00163458" w:rsidTr="0007772A">
        <w:trPr>
          <w:trHeight w:val="31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BA4840" w:rsidRPr="00163458" w:rsidRDefault="00BA4840" w:rsidP="00630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V. </w:t>
            </w:r>
            <w:r w:rsidR="006306FF"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BANK CARDS</w:t>
            </w:r>
          </w:p>
        </w:tc>
      </w:tr>
      <w:tr w:rsidR="0007772A" w:rsidRPr="00163458" w:rsidTr="00163458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4840" w:rsidRPr="00163458" w:rsidRDefault="006306FF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Comment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4840" w:rsidRPr="00163458" w:rsidRDefault="00BA4840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4840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Debit cards</w:t>
            </w:r>
            <w:r w:rsidR="00BA4840"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: Maestro и Visa Electron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4840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Debit cards</w:t>
            </w:r>
            <w:r w:rsidR="00BA4840"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: Visa Classic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4840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Debit cards</w:t>
            </w:r>
            <w:r w:rsidR="00BA4840"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: Debit MasterCard</w:t>
            </w:r>
          </w:p>
        </w:tc>
      </w:tr>
      <w:tr w:rsidR="00BA4840" w:rsidRPr="00163458" w:rsidTr="00163458">
        <w:trPr>
          <w:trHeight w:val="585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840" w:rsidRPr="00163458" w:rsidRDefault="006306FF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New </w:t>
            </w:r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840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Express delivery abroad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840" w:rsidRPr="00163458" w:rsidRDefault="00BA4840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 300 / EUR 150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840" w:rsidRPr="00163458" w:rsidRDefault="00BA4840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 300 / EUR 150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840" w:rsidRPr="00163458" w:rsidRDefault="00BA4840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 300 / EUR 150</w:t>
            </w:r>
          </w:p>
        </w:tc>
      </w:tr>
      <w:tr w:rsidR="00BA4840" w:rsidRPr="00163458" w:rsidTr="00163458">
        <w:trPr>
          <w:trHeight w:val="184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840" w:rsidRPr="00163458" w:rsidRDefault="00BA4840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840" w:rsidRPr="00163458" w:rsidRDefault="00BA4840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840" w:rsidRPr="00163458" w:rsidRDefault="00BA4840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840" w:rsidRPr="00163458" w:rsidRDefault="00BA4840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840" w:rsidRPr="00163458" w:rsidRDefault="00BA4840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</w:tr>
      <w:tr w:rsidR="00BA4840" w:rsidRPr="00163458" w:rsidTr="00163458">
        <w:trPr>
          <w:trHeight w:val="18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0" w:rsidRPr="00163458" w:rsidRDefault="00BA4840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0" w:rsidRPr="00163458" w:rsidRDefault="00BA4840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0" w:rsidRPr="00163458" w:rsidRDefault="00BA4840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0" w:rsidRPr="00163458" w:rsidRDefault="00BA4840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0" w:rsidRPr="00163458" w:rsidRDefault="00BA4840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</w:tr>
      <w:tr w:rsidR="00E403F8" w:rsidRPr="00163458" w:rsidTr="00163458">
        <w:trPr>
          <w:trHeight w:val="61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New fee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Immediate payment (VPP/</w:t>
            </w:r>
            <w:proofErr w:type="spellStart"/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MoneySend</w:t>
            </w:r>
            <w:proofErr w:type="spellEnd"/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1% on the amount 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1% on the amount    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1% on the amount      </w:t>
            </w:r>
          </w:p>
        </w:tc>
      </w:tr>
      <w:tr w:rsidR="00E403F8" w:rsidRPr="00163458" w:rsidTr="00163458">
        <w:trPr>
          <w:trHeight w:val="61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New fee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Emergency cash advance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163458" w:rsidRDefault="000B6309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163458" w:rsidRDefault="000B6309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163458" w:rsidRDefault="00E403F8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 240 / EUR 120</w:t>
            </w:r>
          </w:p>
        </w:tc>
      </w:tr>
    </w:tbl>
    <w:p w:rsidR="00E403F8" w:rsidRPr="00163458" w:rsidRDefault="00E403F8" w:rsidP="000E7D88">
      <w:pPr>
        <w:ind w:left="-851"/>
        <w:rPr>
          <w:rFonts w:ascii="Times New Roman" w:hAnsi="Times New Roman" w:cs="Times New Roman"/>
          <w:lang w:val="en-US"/>
        </w:rPr>
      </w:pPr>
    </w:p>
    <w:p w:rsidR="0005083E" w:rsidRPr="00163458" w:rsidRDefault="0005083E" w:rsidP="000E7D88">
      <w:pPr>
        <w:ind w:left="-851"/>
        <w:rPr>
          <w:rFonts w:ascii="Times New Roman" w:hAnsi="Times New Roman" w:cs="Times New Roman"/>
          <w:sz w:val="20"/>
          <w:lang w:val="en-US"/>
        </w:rPr>
      </w:pPr>
      <w:proofErr w:type="gramStart"/>
      <w:r w:rsidRPr="00163458">
        <w:rPr>
          <w:rFonts w:ascii="Times New Roman" w:hAnsi="Times New Roman" w:cs="Times New Roman"/>
          <w:sz w:val="20"/>
          <w:lang w:val="en-US"/>
        </w:rPr>
        <w:t xml:space="preserve">In sections </w:t>
      </w:r>
      <w:r w:rsidRPr="00163458">
        <w:rPr>
          <w:rFonts w:ascii="Times New Roman" w:hAnsi="Times New Roman" w:cs="Times New Roman"/>
          <w:b/>
          <w:sz w:val="20"/>
          <w:lang w:val="en-US"/>
        </w:rPr>
        <w:t>XI.</w:t>
      </w:r>
      <w:proofErr w:type="gramEnd"/>
      <w:r w:rsidRPr="00163458">
        <w:rPr>
          <w:rFonts w:ascii="Times New Roman" w:hAnsi="Times New Roman" w:cs="Times New Roman"/>
          <w:b/>
          <w:sz w:val="20"/>
          <w:lang w:val="en-US"/>
        </w:rPr>
        <w:t xml:space="preserve"> LOANS</w:t>
      </w:r>
    </w:p>
    <w:p w:rsidR="0005083E" w:rsidRPr="00163458" w:rsidRDefault="0005083E" w:rsidP="00995881">
      <w:pPr>
        <w:spacing w:line="240" w:lineRule="auto"/>
        <w:ind w:left="-851"/>
        <w:rPr>
          <w:rFonts w:ascii="Times New Roman" w:hAnsi="Times New Roman" w:cs="Times New Roman"/>
          <w:b/>
          <w:sz w:val="20"/>
          <w:lang w:val="en-US"/>
        </w:rPr>
      </w:pPr>
      <w:r w:rsidRPr="00163458">
        <w:rPr>
          <w:rFonts w:ascii="Times New Roman" w:hAnsi="Times New Roman" w:cs="Times New Roman"/>
          <w:b/>
          <w:sz w:val="20"/>
          <w:lang w:val="en-US"/>
        </w:rPr>
        <w:t>The following fees are changed:</w:t>
      </w:r>
    </w:p>
    <w:p w:rsidR="00995881" w:rsidRPr="00163458" w:rsidRDefault="0005083E" w:rsidP="00995881">
      <w:pPr>
        <w:spacing w:line="240" w:lineRule="auto"/>
        <w:ind w:left="-851"/>
        <w:rPr>
          <w:rFonts w:ascii="Times New Roman" w:hAnsi="Times New Roman" w:cs="Times New Roman"/>
          <w:sz w:val="20"/>
          <w:lang w:val="en-US"/>
        </w:rPr>
      </w:pPr>
      <w:r w:rsidRPr="00163458">
        <w:rPr>
          <w:rFonts w:ascii="Times New Roman" w:hAnsi="Times New Roman" w:cs="Times New Roman"/>
          <w:sz w:val="20"/>
          <w:lang w:val="en-US"/>
        </w:rPr>
        <w:t>Old fee</w:t>
      </w:r>
      <w:r w:rsidR="00995881" w:rsidRPr="00163458">
        <w:rPr>
          <w:rFonts w:ascii="Times New Roman" w:hAnsi="Times New Roman" w:cs="Times New Roman"/>
          <w:sz w:val="20"/>
          <w:lang w:val="en-US"/>
        </w:rPr>
        <w:t>:</w:t>
      </w:r>
    </w:p>
    <w:tbl>
      <w:tblPr>
        <w:tblW w:w="1007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229"/>
        <w:gridCol w:w="6364"/>
        <w:gridCol w:w="908"/>
        <w:gridCol w:w="748"/>
        <w:gridCol w:w="768"/>
        <w:gridCol w:w="768"/>
      </w:tblGrid>
      <w:tr w:rsidR="00995881" w:rsidRPr="00163458" w:rsidTr="006306FF">
        <w:trPr>
          <w:trHeight w:val="285"/>
        </w:trPr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995881" w:rsidRPr="00163458" w:rsidRDefault="00995881" w:rsidP="00630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 xml:space="preserve">XI.     </w:t>
            </w:r>
            <w:r w:rsidR="00163458"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LOANS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995881" w:rsidRPr="00163458" w:rsidRDefault="00995881" w:rsidP="00630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995881" w:rsidRPr="00163458" w:rsidRDefault="00995881" w:rsidP="00630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995881" w:rsidRPr="00163458" w:rsidRDefault="00995881" w:rsidP="00630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995881" w:rsidRPr="00163458" w:rsidRDefault="00995881" w:rsidP="00630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</w:tr>
      <w:tr w:rsidR="00995881" w:rsidRPr="00163458" w:rsidTr="006306FF">
        <w:trPr>
          <w:trHeight w:val="28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81" w:rsidRPr="00163458" w:rsidRDefault="00995881" w:rsidP="00630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B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81" w:rsidRPr="00163458" w:rsidRDefault="00163458" w:rsidP="00630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Consumer loans with/without guarantor(s)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81" w:rsidRPr="00163458" w:rsidRDefault="00163458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BGN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81" w:rsidRPr="00163458" w:rsidRDefault="00163458" w:rsidP="0063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Foreign Currency</w:t>
            </w:r>
          </w:p>
        </w:tc>
      </w:tr>
      <w:tr w:rsidR="00995881" w:rsidRPr="00163458" w:rsidTr="00163458">
        <w:trPr>
          <w:trHeight w:val="45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81" w:rsidRPr="00163458" w:rsidRDefault="00995881" w:rsidP="00163458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lang w:val="en-US" w:eastAsia="bg-BG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81" w:rsidRPr="00163458" w:rsidRDefault="00995881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  <w:t>2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881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Monthly fee for servicing of current account opened for a consumer loan **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881" w:rsidRPr="00163458" w:rsidRDefault="00995881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81" w:rsidRPr="00163458" w:rsidRDefault="008E465E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2.50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881" w:rsidRPr="00163458" w:rsidRDefault="00995881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81" w:rsidRPr="00163458" w:rsidRDefault="008E465E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2.50</w:t>
            </w:r>
          </w:p>
        </w:tc>
      </w:tr>
    </w:tbl>
    <w:p w:rsidR="0005083E" w:rsidRPr="00163458" w:rsidRDefault="0005083E" w:rsidP="00995881">
      <w:pPr>
        <w:spacing w:line="240" w:lineRule="auto"/>
        <w:ind w:left="-851"/>
        <w:rPr>
          <w:rFonts w:ascii="Times New Roman" w:hAnsi="Times New Roman" w:cs="Times New Roman"/>
          <w:lang w:val="en-US"/>
        </w:rPr>
      </w:pPr>
    </w:p>
    <w:p w:rsidR="00995881" w:rsidRPr="00163458" w:rsidRDefault="0005083E" w:rsidP="00995881">
      <w:pPr>
        <w:spacing w:line="240" w:lineRule="auto"/>
        <w:ind w:left="-851"/>
        <w:rPr>
          <w:rFonts w:ascii="Times New Roman" w:hAnsi="Times New Roman" w:cs="Times New Roman"/>
          <w:sz w:val="20"/>
          <w:lang w:val="en-US"/>
        </w:rPr>
      </w:pPr>
      <w:r w:rsidRPr="00163458">
        <w:rPr>
          <w:rFonts w:ascii="Times New Roman" w:hAnsi="Times New Roman" w:cs="Times New Roman"/>
          <w:sz w:val="20"/>
          <w:lang w:val="en-US"/>
        </w:rPr>
        <w:t>New fee</w:t>
      </w:r>
      <w:r w:rsidR="00995881" w:rsidRPr="00163458">
        <w:rPr>
          <w:rFonts w:ascii="Times New Roman" w:hAnsi="Times New Roman" w:cs="Times New Roman"/>
          <w:sz w:val="20"/>
          <w:lang w:val="en-US"/>
        </w:rPr>
        <w:t>:</w:t>
      </w:r>
    </w:p>
    <w:tbl>
      <w:tblPr>
        <w:tblW w:w="1007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229"/>
        <w:gridCol w:w="6364"/>
        <w:gridCol w:w="908"/>
        <w:gridCol w:w="748"/>
        <w:gridCol w:w="768"/>
        <w:gridCol w:w="768"/>
      </w:tblGrid>
      <w:tr w:rsidR="000E7D88" w:rsidRPr="00163458" w:rsidTr="000E7D88">
        <w:trPr>
          <w:trHeight w:val="285"/>
        </w:trPr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0E7D88" w:rsidRPr="00163458" w:rsidRDefault="000E7D88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 xml:space="preserve">XI.     </w:t>
            </w:r>
            <w:r w:rsid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LOANS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0E7D88" w:rsidRPr="00163458" w:rsidRDefault="000E7D88" w:rsidP="000E7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0E7D88" w:rsidRPr="00163458" w:rsidRDefault="000E7D88" w:rsidP="000E7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0E7D88" w:rsidRPr="00163458" w:rsidRDefault="000E7D88" w:rsidP="000E7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0E7D88" w:rsidRPr="00163458" w:rsidRDefault="000E7D88" w:rsidP="000E7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</w:tr>
      <w:tr w:rsidR="000E7D88" w:rsidRPr="00163458" w:rsidTr="000E7D88">
        <w:trPr>
          <w:trHeight w:val="28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88" w:rsidRPr="00163458" w:rsidRDefault="000E7D88" w:rsidP="000E7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B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88" w:rsidRPr="00163458" w:rsidRDefault="00163458" w:rsidP="000E7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Consumer loans with/without guarantor(s)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88" w:rsidRPr="00163458" w:rsidRDefault="00163458" w:rsidP="000E7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BGN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D88" w:rsidRPr="00163458" w:rsidRDefault="00163458" w:rsidP="000E7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Foreign Currency</w:t>
            </w:r>
          </w:p>
        </w:tc>
      </w:tr>
      <w:tr w:rsidR="000E7D88" w:rsidRPr="00163458" w:rsidTr="00163458">
        <w:trPr>
          <w:trHeight w:val="45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88" w:rsidRPr="00163458" w:rsidRDefault="000E7D88" w:rsidP="000E7D88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lang w:val="en-US" w:eastAsia="bg-BG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88" w:rsidRPr="00163458" w:rsidRDefault="000E7D88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  <w:t>2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D88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Monthly fee for servicing of current account opened for a consumer loan ***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D88" w:rsidRPr="00163458" w:rsidRDefault="000E7D88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88" w:rsidRPr="00163458" w:rsidRDefault="00995881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3.</w:t>
            </w:r>
            <w:r w:rsidR="000E7D8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</w:t>
            </w: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D88" w:rsidRPr="00163458" w:rsidRDefault="000E7D88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88" w:rsidRPr="00163458" w:rsidRDefault="00995881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3.</w:t>
            </w:r>
            <w:r w:rsidR="000E7D8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</w:t>
            </w: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0</w:t>
            </w:r>
          </w:p>
        </w:tc>
      </w:tr>
    </w:tbl>
    <w:p w:rsidR="0005083E" w:rsidRPr="00163458" w:rsidRDefault="0005083E" w:rsidP="004938B8">
      <w:pPr>
        <w:ind w:left="-851"/>
        <w:rPr>
          <w:rFonts w:ascii="Times New Roman" w:hAnsi="Times New Roman" w:cs="Times New Roman"/>
          <w:sz w:val="20"/>
          <w:lang w:val="en-US"/>
        </w:rPr>
      </w:pPr>
      <w:r w:rsidRPr="00163458">
        <w:rPr>
          <w:rFonts w:ascii="Times New Roman" w:hAnsi="Times New Roman" w:cs="Times New Roman"/>
          <w:sz w:val="20"/>
          <w:lang w:val="en-US"/>
        </w:rPr>
        <w:t>*** For all current accounts servicing consumer loans granted after 14.10.2008 and for all current accounts servicing consumer loans renegotiated after 01.03.2009.  (</w:t>
      </w:r>
      <w:proofErr w:type="gramStart"/>
      <w:r w:rsidRPr="00163458">
        <w:rPr>
          <w:rFonts w:ascii="Times New Roman" w:hAnsi="Times New Roman" w:cs="Times New Roman"/>
          <w:sz w:val="20"/>
          <w:lang w:val="en-US"/>
        </w:rPr>
        <w:t>the</w:t>
      </w:r>
      <w:proofErr w:type="gramEnd"/>
      <w:r w:rsidRPr="00163458">
        <w:rPr>
          <w:rFonts w:ascii="Times New Roman" w:hAnsi="Times New Roman" w:cs="Times New Roman"/>
          <w:sz w:val="20"/>
          <w:lang w:val="en-US"/>
        </w:rPr>
        <w:t xml:space="preserve"> fee is accrued till full repayment of the loan). For deals granted until 31.07.2015 incl., the value of the fee is BGN 2.50/EUR 1.25.</w:t>
      </w:r>
    </w:p>
    <w:p w:rsidR="00995881" w:rsidRPr="00163458" w:rsidRDefault="0005083E" w:rsidP="004938B8">
      <w:pPr>
        <w:ind w:left="-851"/>
        <w:rPr>
          <w:rFonts w:ascii="Times New Roman" w:hAnsi="Times New Roman" w:cs="Times New Roman"/>
          <w:sz w:val="20"/>
          <w:lang w:val="en-US"/>
        </w:rPr>
      </w:pPr>
      <w:r w:rsidRPr="00163458">
        <w:rPr>
          <w:rFonts w:ascii="Times New Roman" w:hAnsi="Times New Roman" w:cs="Times New Roman"/>
          <w:sz w:val="20"/>
          <w:lang w:val="en-US"/>
        </w:rPr>
        <w:lastRenderedPageBreak/>
        <w:t>Old fees</w:t>
      </w:r>
      <w:r w:rsidR="004938B8" w:rsidRPr="00163458">
        <w:rPr>
          <w:rFonts w:ascii="Times New Roman" w:hAnsi="Times New Roman" w:cs="Times New Roman"/>
          <w:sz w:val="20"/>
          <w:lang w:val="en-US"/>
        </w:rPr>
        <w:t>:</w:t>
      </w:r>
    </w:p>
    <w:tbl>
      <w:tblPr>
        <w:tblW w:w="1006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18"/>
        <w:gridCol w:w="6266"/>
        <w:gridCol w:w="908"/>
        <w:gridCol w:w="748"/>
        <w:gridCol w:w="768"/>
        <w:gridCol w:w="768"/>
      </w:tblGrid>
      <w:tr w:rsidR="004F749A" w:rsidRPr="00163458" w:rsidTr="004F749A">
        <w:trPr>
          <w:trHeight w:val="285"/>
        </w:trPr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 xml:space="preserve">XI.     </w:t>
            </w:r>
            <w:r w:rsid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LOANS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</w:tr>
      <w:tr w:rsidR="004F749A" w:rsidRPr="00163458" w:rsidTr="004F749A">
        <w:trPr>
          <w:trHeight w:val="69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D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49A" w:rsidRPr="00163458" w:rsidRDefault="00163458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Housing Loans/Home Equity Loans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163458" w:rsidRDefault="00163458" w:rsidP="004F7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BGN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163458" w:rsidRDefault="00163458" w:rsidP="004F7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Foreign Currency</w:t>
            </w:r>
          </w:p>
        </w:tc>
      </w:tr>
      <w:tr w:rsidR="004F749A" w:rsidRPr="00163458" w:rsidTr="00163458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9A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Monthly fee for servicing of current account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</w:tr>
      <w:tr w:rsidR="004F749A" w:rsidRPr="00163458" w:rsidTr="00163458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9A" w:rsidRPr="00163458" w:rsidRDefault="00163458" w:rsidP="0016345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▪opened for a Mortgage loan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1.50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1.50</w:t>
            </w:r>
          </w:p>
        </w:tc>
      </w:tr>
      <w:tr w:rsidR="004F749A" w:rsidRPr="00163458" w:rsidTr="00163458">
        <w:trPr>
          <w:trHeight w:val="45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9A" w:rsidRPr="00163458" w:rsidRDefault="00163458" w:rsidP="0016345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▪opened for a "Saving Mortgage Loan" or opened for "Convenience" package**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2.50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2.50</w:t>
            </w:r>
          </w:p>
        </w:tc>
      </w:tr>
      <w:tr w:rsidR="004F749A" w:rsidRPr="00163458" w:rsidTr="00163458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9A" w:rsidRPr="00163458" w:rsidRDefault="00163458" w:rsidP="0016345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▪opened for a "Premium" package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5.00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5.00</w:t>
            </w:r>
          </w:p>
        </w:tc>
      </w:tr>
      <w:tr w:rsidR="004F749A" w:rsidRPr="00163458" w:rsidTr="00163458">
        <w:trPr>
          <w:trHeight w:val="45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14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9A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examination of request to restore the loan preferences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75</w:t>
            </w:r>
          </w:p>
        </w:tc>
      </w:tr>
    </w:tbl>
    <w:p w:rsidR="004938B8" w:rsidRPr="00163458" w:rsidRDefault="004938B8" w:rsidP="004F749A">
      <w:pPr>
        <w:ind w:left="-851"/>
        <w:rPr>
          <w:lang w:val="en-US"/>
        </w:rPr>
      </w:pPr>
    </w:p>
    <w:p w:rsidR="004938B8" w:rsidRPr="00163458" w:rsidRDefault="0005083E" w:rsidP="004938B8">
      <w:pPr>
        <w:ind w:left="-851"/>
        <w:rPr>
          <w:rFonts w:ascii="Times New Roman" w:hAnsi="Times New Roman" w:cs="Times New Roman"/>
          <w:sz w:val="20"/>
          <w:lang w:val="en-US"/>
        </w:rPr>
      </w:pPr>
      <w:r w:rsidRPr="00163458">
        <w:rPr>
          <w:rFonts w:ascii="Times New Roman" w:hAnsi="Times New Roman" w:cs="Times New Roman"/>
          <w:sz w:val="20"/>
          <w:lang w:val="en-US"/>
        </w:rPr>
        <w:t>New fees</w:t>
      </w:r>
      <w:r w:rsidR="004938B8" w:rsidRPr="00163458">
        <w:rPr>
          <w:rFonts w:ascii="Times New Roman" w:hAnsi="Times New Roman" w:cs="Times New Roman"/>
          <w:sz w:val="20"/>
          <w:lang w:val="en-US"/>
        </w:rPr>
        <w:t>:</w:t>
      </w:r>
    </w:p>
    <w:tbl>
      <w:tblPr>
        <w:tblW w:w="1006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18"/>
        <w:gridCol w:w="6266"/>
        <w:gridCol w:w="908"/>
        <w:gridCol w:w="748"/>
        <w:gridCol w:w="768"/>
        <w:gridCol w:w="768"/>
      </w:tblGrid>
      <w:tr w:rsidR="004F749A" w:rsidRPr="00163458" w:rsidTr="004F749A">
        <w:trPr>
          <w:trHeight w:val="285"/>
        </w:trPr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 xml:space="preserve">XI.     </w:t>
            </w:r>
            <w:r w:rsidR="00163458"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LOANS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</w:tr>
      <w:tr w:rsidR="004F749A" w:rsidRPr="00163458" w:rsidTr="004F749A">
        <w:trPr>
          <w:trHeight w:val="69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D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49A" w:rsidRPr="00163458" w:rsidRDefault="00163458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Housing Loans/Home Equity Loans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163458" w:rsidRDefault="00163458" w:rsidP="004F7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BGN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163458" w:rsidRDefault="00163458" w:rsidP="004F7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Foreign Currency</w:t>
            </w:r>
          </w:p>
        </w:tc>
      </w:tr>
      <w:tr w:rsidR="004F749A" w:rsidRPr="00163458" w:rsidTr="00163458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9A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Monthly fee for servicing of current account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</w:tr>
      <w:tr w:rsidR="004F749A" w:rsidRPr="00163458" w:rsidTr="00163458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9A" w:rsidRPr="00163458" w:rsidRDefault="00163458" w:rsidP="0016345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▪opened for a Mortgage loan 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3.50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3.50</w:t>
            </w:r>
          </w:p>
        </w:tc>
      </w:tr>
      <w:tr w:rsidR="004F749A" w:rsidRPr="00163458" w:rsidTr="00163458">
        <w:trPr>
          <w:trHeight w:val="45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9A" w:rsidRPr="00163458" w:rsidRDefault="00163458" w:rsidP="0016345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▪opened for "Convenience" package**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2.50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2.50</w:t>
            </w:r>
          </w:p>
        </w:tc>
      </w:tr>
      <w:tr w:rsidR="004F749A" w:rsidRPr="00163458" w:rsidTr="00163458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9A" w:rsidRPr="00163458" w:rsidRDefault="00163458" w:rsidP="0016345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▪opened for a "Premium" package **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5.00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5.00</w:t>
            </w:r>
          </w:p>
        </w:tc>
      </w:tr>
      <w:tr w:rsidR="004F749A" w:rsidRPr="00163458" w:rsidTr="00163458">
        <w:trPr>
          <w:trHeight w:val="45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163458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14</w:t>
            </w: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9A" w:rsidRPr="00163458" w:rsidRDefault="00163458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examination of request to restore the loan preferences 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9A" w:rsidRPr="00163458" w:rsidRDefault="004F749A" w:rsidP="001634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100</w:t>
            </w:r>
          </w:p>
        </w:tc>
      </w:tr>
    </w:tbl>
    <w:p w:rsidR="004938B8" w:rsidRPr="00163458" w:rsidRDefault="004938B8" w:rsidP="004938B8">
      <w:pPr>
        <w:ind w:left="-851"/>
        <w:rPr>
          <w:rFonts w:ascii="Times New Roman" w:hAnsi="Times New Roman" w:cs="Times New Roman"/>
          <w:b/>
          <w:lang w:val="en-US"/>
        </w:rPr>
      </w:pPr>
    </w:p>
    <w:p w:rsidR="0005083E" w:rsidRPr="00163458" w:rsidRDefault="0005083E" w:rsidP="0005083E">
      <w:pPr>
        <w:ind w:left="-851"/>
        <w:rPr>
          <w:rFonts w:ascii="Times New Roman" w:hAnsi="Times New Roman" w:cs="Times New Roman"/>
          <w:sz w:val="20"/>
          <w:lang w:val="en-US"/>
        </w:rPr>
      </w:pPr>
      <w:r w:rsidRPr="00163458">
        <w:rPr>
          <w:rFonts w:ascii="Times New Roman" w:hAnsi="Times New Roman" w:cs="Times New Roman"/>
          <w:sz w:val="20"/>
          <w:lang w:val="en-US"/>
        </w:rPr>
        <w:t xml:space="preserve">* </w:t>
      </w:r>
      <w:r w:rsidR="00B822A8" w:rsidRPr="00B822A8">
        <w:rPr>
          <w:rFonts w:ascii="Times New Roman" w:hAnsi="Times New Roman" w:cs="Times New Roman"/>
          <w:sz w:val="20"/>
          <w:lang w:val="en-US"/>
        </w:rPr>
        <w:t>The fee is valid for contracts concluded after 31.07.2015</w:t>
      </w:r>
      <w:r w:rsidRPr="00163458">
        <w:rPr>
          <w:rFonts w:ascii="Times New Roman" w:hAnsi="Times New Roman" w:cs="Times New Roman"/>
          <w:sz w:val="20"/>
          <w:lang w:val="en-US"/>
        </w:rPr>
        <w:t xml:space="preserve">. </w:t>
      </w:r>
    </w:p>
    <w:p w:rsidR="0005083E" w:rsidRPr="00163458" w:rsidRDefault="0005083E" w:rsidP="0005083E">
      <w:pPr>
        <w:ind w:left="-851"/>
        <w:rPr>
          <w:rFonts w:ascii="Times New Roman" w:hAnsi="Times New Roman" w:cs="Times New Roman"/>
          <w:sz w:val="20"/>
          <w:lang w:val="en-US"/>
        </w:rPr>
      </w:pPr>
      <w:r w:rsidRPr="00163458">
        <w:rPr>
          <w:rFonts w:ascii="Times New Roman" w:hAnsi="Times New Roman" w:cs="Times New Roman"/>
          <w:sz w:val="20"/>
          <w:lang w:val="en-US"/>
        </w:rPr>
        <w:t>** The packages are not offered anymore</w:t>
      </w:r>
      <w:r w:rsidR="00163458">
        <w:rPr>
          <w:rFonts w:ascii="Times New Roman" w:hAnsi="Times New Roman" w:cs="Times New Roman"/>
          <w:sz w:val="20"/>
          <w:lang w:val="en-US"/>
        </w:rPr>
        <w:t>.</w:t>
      </w:r>
    </w:p>
    <w:p w:rsidR="0005083E" w:rsidRPr="00163458" w:rsidRDefault="0005083E" w:rsidP="0005083E">
      <w:pPr>
        <w:ind w:left="-851"/>
        <w:rPr>
          <w:rFonts w:ascii="Times New Roman" w:hAnsi="Times New Roman" w:cs="Times New Roman"/>
          <w:sz w:val="20"/>
          <w:lang w:val="en-US"/>
        </w:rPr>
      </w:pPr>
    </w:p>
    <w:p w:rsidR="00163458" w:rsidRPr="00163458" w:rsidRDefault="00163458" w:rsidP="0005083E">
      <w:pPr>
        <w:ind w:left="-851"/>
        <w:rPr>
          <w:rFonts w:ascii="Times New Roman" w:hAnsi="Times New Roman" w:cs="Times New Roman"/>
          <w:sz w:val="20"/>
          <w:lang w:val="en-US"/>
        </w:rPr>
      </w:pPr>
    </w:p>
    <w:p w:rsidR="00163458" w:rsidRPr="00163458" w:rsidRDefault="00163458" w:rsidP="0005083E">
      <w:pPr>
        <w:ind w:left="-851"/>
        <w:rPr>
          <w:rFonts w:ascii="Times New Roman" w:hAnsi="Times New Roman" w:cs="Times New Roman"/>
          <w:sz w:val="20"/>
          <w:lang w:val="en-US"/>
        </w:rPr>
      </w:pPr>
    </w:p>
    <w:p w:rsidR="004938B8" w:rsidRPr="00163458" w:rsidRDefault="0005083E" w:rsidP="0005083E">
      <w:pPr>
        <w:ind w:left="-851"/>
        <w:rPr>
          <w:rFonts w:ascii="Times New Roman" w:hAnsi="Times New Roman" w:cs="Times New Roman"/>
          <w:b/>
          <w:lang w:val="en-US"/>
        </w:rPr>
      </w:pPr>
      <w:r w:rsidRPr="00163458">
        <w:rPr>
          <w:rFonts w:ascii="Times New Roman" w:hAnsi="Times New Roman" w:cs="Times New Roman"/>
          <w:b/>
          <w:lang w:val="en-US"/>
        </w:rPr>
        <w:lastRenderedPageBreak/>
        <w:t xml:space="preserve">The following fees are </w:t>
      </w:r>
      <w:r w:rsidRPr="00F62AF7">
        <w:rPr>
          <w:rFonts w:ascii="Times New Roman" w:hAnsi="Times New Roman" w:cs="Times New Roman"/>
          <w:b/>
          <w:sz w:val="20"/>
          <w:lang w:val="en-US"/>
        </w:rPr>
        <w:t>added</w:t>
      </w:r>
      <w:r w:rsidRPr="00163458">
        <w:rPr>
          <w:rFonts w:ascii="Times New Roman" w:hAnsi="Times New Roman" w:cs="Times New Roman"/>
          <w:b/>
          <w:lang w:val="en-US"/>
        </w:rPr>
        <w:t>:</w:t>
      </w:r>
    </w:p>
    <w:tbl>
      <w:tblPr>
        <w:tblW w:w="1008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18"/>
        <w:gridCol w:w="6293"/>
        <w:gridCol w:w="908"/>
        <w:gridCol w:w="748"/>
        <w:gridCol w:w="768"/>
        <w:gridCol w:w="768"/>
      </w:tblGrid>
      <w:tr w:rsidR="004938B8" w:rsidRPr="00163458" w:rsidTr="0007772A">
        <w:trPr>
          <w:trHeight w:val="285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 xml:space="preserve">XI.     </w:t>
            </w:r>
            <w:r w:rsidR="00163458"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LOANS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</w:tr>
      <w:tr w:rsidR="00B560C5" w:rsidRPr="00163458" w:rsidTr="00B560C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A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B8" w:rsidRPr="00163458" w:rsidRDefault="0016345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Overdraft on current accounts/ debit cards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163458" w:rsidRDefault="0016345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BGN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B8" w:rsidRPr="00163458" w:rsidRDefault="0016345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Foreign Currency</w:t>
            </w:r>
          </w:p>
        </w:tc>
      </w:tr>
      <w:tr w:rsidR="00B560C5" w:rsidRPr="00163458" w:rsidTr="00F62AF7">
        <w:trPr>
          <w:trHeight w:val="97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163458" w:rsidRDefault="0016345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booking of the conditions as per provided offer for overdraft (in terms of interest rate, fees and commissions) for 6-months period (incl. VAT)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</w:tr>
      <w:tr w:rsidR="00B560C5" w:rsidRPr="00163458" w:rsidTr="00F62AF7">
        <w:trPr>
          <w:trHeight w:val="58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163458" w:rsidRDefault="00B822A8" w:rsidP="00B822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c</w:t>
            </w:r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hange in the initially defined overdraft parameters as per the initial approval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</w:tr>
      <w:tr w:rsidR="00B560C5" w:rsidRPr="00163458" w:rsidTr="00F62AF7">
        <w:trPr>
          <w:trHeight w:val="67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163458" w:rsidRDefault="0016345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Application fee for overdraft renegotiation (concerning interest rate, replacement/enter into debt, partial release of collateral)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</w:tr>
      <w:tr w:rsidR="00B560C5" w:rsidRPr="00163458" w:rsidTr="00F62AF7">
        <w:trPr>
          <w:trHeight w:val="90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163458" w:rsidRDefault="00B822A8" w:rsidP="00B822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c</w:t>
            </w:r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hange in the parameters of the loan (incl. Interest rate, replacement/enter into debt, partial release of collateral) - due upon approval of the requested change in the parameters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0.70% min 75 BGN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</w:tr>
      <w:tr w:rsidR="00B560C5" w:rsidRPr="00163458" w:rsidTr="00F62AF7">
        <w:trPr>
          <w:trHeight w:val="45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163458" w:rsidRDefault="00B822A8" w:rsidP="00B822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c</w:t>
            </w:r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hange in the parameters of the loan different from the ones in point 7. (</w:t>
            </w:r>
            <w:proofErr w:type="gramStart"/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incl</w:t>
            </w:r>
            <w:proofErr w:type="gramEnd"/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. fees and charges, corresponding accounts, etc.) 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</w:tr>
      <w:tr w:rsidR="00B560C5" w:rsidRPr="00163458" w:rsidTr="00F62AF7">
        <w:trPr>
          <w:trHeight w:val="45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163458" w:rsidRDefault="0016345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examination of request to regain the overdraft preferences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</w:tr>
      <w:tr w:rsidR="00B560C5" w:rsidRPr="00163458" w:rsidTr="00F62AF7">
        <w:trPr>
          <w:trHeight w:val="28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10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163458" w:rsidRDefault="00B822A8" w:rsidP="00B822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c</w:t>
            </w:r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hange of existing overdraft limit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</w:tr>
      <w:tr w:rsidR="00B560C5" w:rsidRPr="00163458" w:rsidTr="00294FA4">
        <w:trPr>
          <w:trHeight w:val="28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B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938B8" w:rsidRPr="00163458" w:rsidRDefault="0016345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Consumer loans with/without guarantor(s)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938B8" w:rsidRPr="00163458" w:rsidRDefault="0016345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BGN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938B8" w:rsidRPr="00163458" w:rsidRDefault="0016345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Foreign Currency</w:t>
            </w:r>
          </w:p>
        </w:tc>
      </w:tr>
      <w:tr w:rsidR="00B560C5" w:rsidRPr="00163458" w:rsidTr="00F62AF7">
        <w:trPr>
          <w:trHeight w:val="97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163458" w:rsidRDefault="0016345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booking of the conditions as per provided offer for consumer loan (in terms of interest rate, fees and commissions) for 6-months period (incl. VAT)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50</w:t>
            </w:r>
          </w:p>
        </w:tc>
      </w:tr>
      <w:tr w:rsidR="00B560C5" w:rsidRPr="00163458" w:rsidTr="00F62AF7">
        <w:trPr>
          <w:trHeight w:val="58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163458" w:rsidRDefault="00B822A8" w:rsidP="00B822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c</w:t>
            </w:r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hange in the initially defined consumer loan parameters as per the initial approval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50</w:t>
            </w:r>
          </w:p>
        </w:tc>
      </w:tr>
      <w:tr w:rsidR="00B560C5" w:rsidRPr="00163458" w:rsidTr="00F62AF7">
        <w:trPr>
          <w:trHeight w:val="67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163458" w:rsidRDefault="0016345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application for loan renegotiation (concerning interest rate, tenor, replacement/enter into debt, partial release of collateral)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15</w:t>
            </w:r>
          </w:p>
        </w:tc>
      </w:tr>
      <w:tr w:rsidR="00B560C5" w:rsidRPr="00163458" w:rsidTr="00F62AF7">
        <w:trPr>
          <w:trHeight w:val="67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163458" w:rsidRDefault="00B822A8" w:rsidP="00B822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c</w:t>
            </w:r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hange in the parameters of the loan (incl. Interest </w:t>
            </w:r>
            <w:proofErr w:type="spellStart"/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rate,tenor</w:t>
            </w:r>
            <w:proofErr w:type="spellEnd"/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, replacement/enter into debt, partial release of collateral) - paid upon approval of the requested change in the parameters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B8" w:rsidRPr="00163458" w:rsidRDefault="00F62AF7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0.70% min</w:t>
            </w:r>
            <w:r w:rsidR="004938B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. 75 BGN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0.70% min. 75 BGN </w:t>
            </w:r>
          </w:p>
        </w:tc>
      </w:tr>
      <w:tr w:rsidR="00B560C5" w:rsidRPr="00163458" w:rsidTr="00F62AF7">
        <w:trPr>
          <w:trHeight w:val="67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163458" w:rsidRDefault="00B822A8" w:rsidP="00B822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c</w:t>
            </w:r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hange in the parameters of the loan different from the ones in point 6. (</w:t>
            </w:r>
            <w:proofErr w:type="gramStart"/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incl</w:t>
            </w:r>
            <w:proofErr w:type="gramEnd"/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. fees and commissions, corresponding accounts, installment date, etc.) 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35</w:t>
            </w:r>
          </w:p>
        </w:tc>
      </w:tr>
      <w:tr w:rsidR="00B560C5" w:rsidRPr="00163458" w:rsidTr="00F62AF7">
        <w:trPr>
          <w:trHeight w:val="45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lastRenderedPageBreak/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163458" w:rsidRDefault="0016345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examination of request to regain the consumer loan preferences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50</w:t>
            </w:r>
          </w:p>
        </w:tc>
      </w:tr>
      <w:tr w:rsidR="00B560C5" w:rsidRPr="00163458" w:rsidTr="004D493D">
        <w:trPr>
          <w:trHeight w:val="52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C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4938B8" w:rsidRPr="00163458" w:rsidRDefault="00F62AF7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F62AF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Consumer loan/overdraft with cash collateral (</w:t>
            </w:r>
            <w:proofErr w:type="spellStart"/>
            <w:r w:rsidRPr="00F62AF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Elastica</w:t>
            </w:r>
            <w:proofErr w:type="spellEnd"/>
            <w:r w:rsidRPr="00F62AF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938B8" w:rsidRPr="00163458" w:rsidRDefault="0016345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BGN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938B8" w:rsidRPr="00163458" w:rsidRDefault="0016345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Foreign Currency</w:t>
            </w:r>
          </w:p>
        </w:tc>
      </w:tr>
      <w:tr w:rsidR="00B560C5" w:rsidRPr="00163458" w:rsidTr="00F62AF7">
        <w:trPr>
          <w:trHeight w:val="58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163458" w:rsidRDefault="00B822A8" w:rsidP="00B822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c</w:t>
            </w:r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hange in the initially defined loan/overdraft parameters as per the initial approval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50</w:t>
            </w:r>
          </w:p>
        </w:tc>
      </w:tr>
      <w:tr w:rsidR="00B560C5" w:rsidRPr="00163458" w:rsidTr="00F62AF7">
        <w:trPr>
          <w:trHeight w:val="67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163458" w:rsidRDefault="0016345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application for loan/overdraft renegotiation (concerning interest rate, tenor, replacement/enter into debt, partial release of collateral)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15</w:t>
            </w:r>
          </w:p>
        </w:tc>
      </w:tr>
      <w:tr w:rsidR="00B560C5" w:rsidRPr="00163458" w:rsidTr="00F62AF7">
        <w:trPr>
          <w:trHeight w:val="90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163458" w:rsidRDefault="00B822A8" w:rsidP="00B822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c</w:t>
            </w:r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hange in the parameters of the loan/overdraft (incl. Interest </w:t>
            </w:r>
            <w:proofErr w:type="spellStart"/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rate,tenor</w:t>
            </w:r>
            <w:proofErr w:type="spellEnd"/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, replacement/enter into debt, partial release of collateral) - paid upon approval of the requested change in the parameters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B8" w:rsidRPr="00163458" w:rsidRDefault="00F62AF7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0.70% min</w:t>
            </w:r>
            <w:r w:rsidR="004938B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. 75 BGN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0.70% min. 75 BGN </w:t>
            </w:r>
          </w:p>
        </w:tc>
      </w:tr>
      <w:tr w:rsidR="00B560C5" w:rsidRPr="00163458" w:rsidTr="00F62AF7">
        <w:trPr>
          <w:trHeight w:val="67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16345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163458" w:rsidRDefault="00B822A8" w:rsidP="00B822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Fee for c</w:t>
            </w:r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hange in the parameters of the loan/overdraft different from the ones in point 6. (</w:t>
            </w:r>
            <w:proofErr w:type="gramStart"/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incl</w:t>
            </w:r>
            <w:proofErr w:type="gramEnd"/>
            <w:r w:rsidR="00163458"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. fees and commissions, corresponding accounts, installment date, etc.) 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B8" w:rsidRPr="00163458" w:rsidRDefault="004938B8" w:rsidP="00F62A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35</w:t>
            </w:r>
          </w:p>
        </w:tc>
      </w:tr>
    </w:tbl>
    <w:p w:rsidR="004F749A" w:rsidRPr="00163458" w:rsidRDefault="004F749A" w:rsidP="00F11192">
      <w:pPr>
        <w:rPr>
          <w:rFonts w:ascii="Times New Roman" w:hAnsi="Times New Roman" w:cs="Times New Roman"/>
          <w:b/>
          <w:lang w:val="en-US"/>
        </w:rPr>
      </w:pPr>
    </w:p>
    <w:p w:rsidR="007D1AF6" w:rsidRPr="00163458" w:rsidRDefault="0005083E" w:rsidP="00294FA4">
      <w:pPr>
        <w:ind w:left="-851"/>
        <w:rPr>
          <w:rFonts w:ascii="Times New Roman" w:hAnsi="Times New Roman" w:cs="Times New Roman"/>
          <w:b/>
          <w:lang w:val="en-US"/>
        </w:rPr>
      </w:pPr>
      <w:r w:rsidRPr="00163458">
        <w:rPr>
          <w:rFonts w:ascii="Times New Roman" w:hAnsi="Times New Roman" w:cs="Times New Roman"/>
          <w:b/>
          <w:lang w:val="en-US"/>
        </w:rPr>
        <w:t xml:space="preserve">The following fees are </w:t>
      </w:r>
      <w:r w:rsidR="00805F84">
        <w:rPr>
          <w:rFonts w:ascii="Times New Roman" w:hAnsi="Times New Roman" w:cs="Times New Roman"/>
          <w:b/>
          <w:lang w:val="en-US"/>
        </w:rPr>
        <w:t>removed</w:t>
      </w:r>
      <w:r w:rsidRPr="00163458">
        <w:rPr>
          <w:rFonts w:ascii="Times New Roman" w:hAnsi="Times New Roman" w:cs="Times New Roman"/>
          <w:b/>
          <w:lang w:val="en-US"/>
        </w:rPr>
        <w:t>:</w:t>
      </w:r>
    </w:p>
    <w:tbl>
      <w:tblPr>
        <w:tblW w:w="1002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85"/>
        <w:gridCol w:w="6195"/>
        <w:gridCol w:w="1079"/>
        <w:gridCol w:w="561"/>
        <w:gridCol w:w="1000"/>
        <w:gridCol w:w="520"/>
      </w:tblGrid>
      <w:tr w:rsidR="00464153" w:rsidRPr="00163458" w:rsidTr="0007772A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4153" w:rsidRPr="00163458" w:rsidRDefault="00464153" w:rsidP="00464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B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64153" w:rsidRPr="00163458" w:rsidRDefault="00163458" w:rsidP="00464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Consumer loans with/without guarantor(s)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4153" w:rsidRPr="00163458" w:rsidRDefault="00163458" w:rsidP="00464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BGN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64153" w:rsidRPr="00163458" w:rsidRDefault="00163458" w:rsidP="00464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Foreign Currency</w:t>
            </w:r>
          </w:p>
        </w:tc>
      </w:tr>
      <w:tr w:rsidR="00464153" w:rsidRPr="00163458" w:rsidTr="00F62AF7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153" w:rsidRPr="00163458" w:rsidRDefault="00464153" w:rsidP="00464153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lang w:val="en-US" w:eastAsia="bg-BG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53" w:rsidRPr="00163458" w:rsidRDefault="00464153" w:rsidP="00F62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153" w:rsidRPr="00163458" w:rsidRDefault="00163458" w:rsidP="00F62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Renegotiation of the loan (in terms of interest rate, tenor,  amount, repayment schedule, etc.) - with the exception of the cases of pre-term repayment*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153" w:rsidRPr="00163458" w:rsidRDefault="00464153" w:rsidP="00F62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53" w:rsidRPr="00163458" w:rsidRDefault="00464153" w:rsidP="00F62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153" w:rsidRPr="00163458" w:rsidRDefault="00464153" w:rsidP="00F62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53" w:rsidRPr="00163458" w:rsidRDefault="00464153" w:rsidP="00F62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35</w:t>
            </w:r>
          </w:p>
        </w:tc>
      </w:tr>
    </w:tbl>
    <w:p w:rsidR="004938B8" w:rsidRPr="002C7697" w:rsidRDefault="00805F84" w:rsidP="00995881">
      <w:pPr>
        <w:ind w:left="-851"/>
        <w:rPr>
          <w:rFonts w:ascii="Times New Roman" w:hAnsi="Times New Roman" w:cs="Times New Roman"/>
          <w:lang w:val="en-US"/>
        </w:rPr>
      </w:pPr>
      <w:r w:rsidRPr="002C7697">
        <w:rPr>
          <w:rFonts w:ascii="Times New Roman" w:hAnsi="Times New Roman" w:cs="Times New Roman"/>
          <w:lang w:val="en-US"/>
        </w:rPr>
        <w:t>Comment</w:t>
      </w:r>
      <w:r w:rsidR="007D1AF6" w:rsidRPr="002C7697">
        <w:rPr>
          <w:rFonts w:ascii="Times New Roman" w:hAnsi="Times New Roman" w:cs="Times New Roman"/>
          <w:lang w:val="en-US"/>
        </w:rPr>
        <w:t>:*</w:t>
      </w:r>
      <w:r w:rsidRPr="002C7697">
        <w:rPr>
          <w:rFonts w:ascii="Times New Roman" w:hAnsi="Times New Roman" w:cs="Times New Roman"/>
          <w:lang w:val="en-US"/>
        </w:rPr>
        <w:t xml:space="preserve"> The fee is removed, it is replaced by two new fees described in the table above. </w:t>
      </w:r>
    </w:p>
    <w:tbl>
      <w:tblPr>
        <w:tblW w:w="1002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29"/>
        <w:gridCol w:w="6151"/>
        <w:gridCol w:w="925"/>
        <w:gridCol w:w="715"/>
        <w:gridCol w:w="823"/>
        <w:gridCol w:w="697"/>
      </w:tblGrid>
      <w:tr w:rsidR="007454EC" w:rsidRPr="00163458" w:rsidTr="00163458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E44ED" w:rsidRPr="00163458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D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6E44ED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Credit Wish Revolving loan*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E44ED" w:rsidRPr="00163458" w:rsidRDefault="00163458" w:rsidP="006E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BGN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6E44ED" w:rsidRPr="00163458" w:rsidRDefault="00163458" w:rsidP="006E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Foreign Currency</w:t>
            </w:r>
          </w:p>
        </w:tc>
      </w:tr>
      <w:tr w:rsidR="00163458" w:rsidRPr="00163458" w:rsidTr="0016345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1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458" w:rsidRPr="00163458" w:rsidRDefault="00163458" w:rsidP="00845B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Examination of the credit application documents-  due upon submission of the credit request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</w:tr>
      <w:tr w:rsidR="00163458" w:rsidRPr="00163458" w:rsidTr="00163458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458" w:rsidRPr="00163458" w:rsidRDefault="00163458" w:rsidP="00845B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proofErr w:type="gramStart"/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from</w:t>
            </w:r>
            <w:proofErr w:type="gramEnd"/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 200 to 1 000 BGN.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</w:tr>
      <w:tr w:rsidR="00163458" w:rsidRPr="00163458" w:rsidTr="00163458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458" w:rsidRPr="00163458" w:rsidRDefault="00163458" w:rsidP="00845B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proofErr w:type="gramStart"/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from</w:t>
            </w:r>
            <w:proofErr w:type="gramEnd"/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 1 001 to 4 000 BGN.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30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</w:tr>
      <w:tr w:rsidR="00163458" w:rsidRPr="00163458" w:rsidTr="00163458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458" w:rsidRPr="00163458" w:rsidRDefault="00163458" w:rsidP="00845B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from 4 001 to 7 000 BGN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</w:tr>
      <w:tr w:rsidR="00163458" w:rsidRPr="00163458" w:rsidTr="00163458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458" w:rsidRPr="00163458" w:rsidRDefault="00163458" w:rsidP="00845B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from 7 001 to 10 000 BGN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70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</w:tr>
      <w:tr w:rsidR="00163458" w:rsidRPr="00163458" w:rsidTr="00163458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458" w:rsidRPr="00163458" w:rsidRDefault="00163458" w:rsidP="00845B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from 10 001 to 20 000 BGN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</w:tr>
      <w:tr w:rsidR="00163458" w:rsidRPr="00163458" w:rsidTr="00163458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lang w:val="en-US" w:eastAsia="bg-BG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458" w:rsidRPr="00163458" w:rsidRDefault="00163458" w:rsidP="00845B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over 20 000 BGN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175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58" w:rsidRPr="00163458" w:rsidRDefault="00163458" w:rsidP="006E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16345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</w:tr>
    </w:tbl>
    <w:p w:rsidR="004D493D" w:rsidRPr="00163458" w:rsidRDefault="0005083E" w:rsidP="006E44ED">
      <w:pPr>
        <w:ind w:left="-851"/>
        <w:rPr>
          <w:rFonts w:ascii="Times New Roman" w:hAnsi="Times New Roman" w:cs="Times New Roman"/>
          <w:sz w:val="20"/>
          <w:lang w:val="en-US"/>
        </w:rPr>
      </w:pPr>
      <w:r w:rsidRPr="00163458">
        <w:rPr>
          <w:rFonts w:ascii="Times New Roman" w:hAnsi="Times New Roman" w:cs="Times New Roman"/>
          <w:sz w:val="20"/>
          <w:lang w:val="en-US"/>
        </w:rPr>
        <w:t>* The product is not offered by the bank as of 01.04.2015.</w:t>
      </w:r>
    </w:p>
    <w:p w:rsidR="0005083E" w:rsidRPr="00163458" w:rsidRDefault="0005083E" w:rsidP="006E44ED">
      <w:pPr>
        <w:ind w:left="-851"/>
        <w:rPr>
          <w:rFonts w:ascii="Times New Roman" w:hAnsi="Times New Roman" w:cs="Times New Roman"/>
          <w:sz w:val="20"/>
          <w:lang w:val="en-US"/>
        </w:rPr>
      </w:pPr>
    </w:p>
    <w:p w:rsidR="0005083E" w:rsidRPr="00737C91" w:rsidRDefault="002C7697" w:rsidP="0005083E">
      <w:pPr>
        <w:ind w:left="-851"/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val="en-US" w:eastAsia="bg-BG"/>
        </w:rPr>
      </w:pPr>
      <w:r w:rsidRPr="00737C9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val="en-US" w:eastAsia="bg-BG"/>
        </w:rPr>
        <w:t>A</w:t>
      </w:r>
      <w:r w:rsidR="0005083E" w:rsidRPr="00737C9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val="en-US" w:eastAsia="bg-BG"/>
        </w:rPr>
        <w:t>mendments in the Tariff for fees and commissions of customers Legal entities</w:t>
      </w:r>
      <w:r w:rsidR="00737C91" w:rsidRPr="00737C9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val="en-US" w:eastAsia="bg-BG"/>
        </w:rPr>
        <w:t>,</w:t>
      </w:r>
      <w:r w:rsidR="0005083E" w:rsidRPr="00737C9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val="en-US" w:eastAsia="bg-BG"/>
        </w:rPr>
        <w:t xml:space="preserve"> </w:t>
      </w:r>
      <w:r w:rsidRPr="00737C9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val="en-US" w:eastAsia="bg-BG"/>
        </w:rPr>
        <w:t>as of 03.08.2015</w:t>
      </w:r>
    </w:p>
    <w:p w:rsidR="00737C91" w:rsidRPr="00737C91" w:rsidRDefault="00737C91" w:rsidP="0005083E">
      <w:pPr>
        <w:ind w:left="-851"/>
        <w:rPr>
          <w:rFonts w:ascii="Times New Roman" w:eastAsia="Times New Roman" w:hAnsi="Times New Roman" w:cs="Times New Roman"/>
          <w:b/>
          <w:color w:val="000000" w:themeColor="text1"/>
          <w:szCs w:val="18"/>
          <w:lang w:val="en-US" w:eastAsia="bg-BG"/>
        </w:rPr>
      </w:pPr>
    </w:p>
    <w:p w:rsidR="0005083E" w:rsidRPr="00163458" w:rsidRDefault="0005083E" w:rsidP="00E403F8">
      <w:pPr>
        <w:ind w:left="-851"/>
        <w:rPr>
          <w:rFonts w:ascii="Times New Roman" w:hAnsi="Times New Roman" w:cs="Times New Roman"/>
          <w:sz w:val="20"/>
          <w:lang w:val="en-US"/>
        </w:rPr>
      </w:pPr>
      <w:r w:rsidRPr="00163458">
        <w:rPr>
          <w:rFonts w:ascii="Times New Roman" w:hAnsi="Times New Roman" w:cs="Times New Roman"/>
          <w:sz w:val="20"/>
          <w:lang w:val="en-US"/>
        </w:rPr>
        <w:t xml:space="preserve">In section </w:t>
      </w:r>
      <w:r w:rsidRPr="00163458">
        <w:rPr>
          <w:rFonts w:ascii="Times New Roman" w:hAnsi="Times New Roman" w:cs="Times New Roman"/>
          <w:b/>
          <w:sz w:val="20"/>
          <w:lang w:val="en-US"/>
        </w:rPr>
        <w:t>V. Bank cards</w:t>
      </w:r>
    </w:p>
    <w:p w:rsidR="0005083E" w:rsidRPr="00163458" w:rsidRDefault="0005083E" w:rsidP="0005083E">
      <w:pPr>
        <w:ind w:left="-851"/>
        <w:rPr>
          <w:rFonts w:ascii="Times New Roman" w:eastAsia="Times New Roman" w:hAnsi="Times New Roman" w:cs="Times New Roman"/>
          <w:b/>
          <w:color w:val="000000" w:themeColor="text1"/>
          <w:szCs w:val="18"/>
          <w:lang w:val="en-US" w:eastAsia="bg-BG"/>
        </w:rPr>
      </w:pPr>
      <w:r w:rsidRPr="00163458">
        <w:rPr>
          <w:rFonts w:ascii="Times New Roman" w:eastAsia="Times New Roman" w:hAnsi="Times New Roman" w:cs="Times New Roman"/>
          <w:b/>
          <w:color w:val="000000" w:themeColor="text1"/>
          <w:szCs w:val="18"/>
          <w:lang w:val="en-US" w:eastAsia="bg-BG"/>
        </w:rPr>
        <w:t>The following fees are added:</w:t>
      </w:r>
    </w:p>
    <w:p w:rsidR="00E403F8" w:rsidRPr="00163458" w:rsidRDefault="00E403F8" w:rsidP="006E44ED">
      <w:pPr>
        <w:ind w:left="-851"/>
        <w:rPr>
          <w:rFonts w:ascii="Times New Roman" w:hAnsi="Times New Roman" w:cs="Times New Roman"/>
          <w:sz w:val="20"/>
          <w:lang w:val="en-US"/>
        </w:rPr>
      </w:pP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740"/>
        <w:gridCol w:w="1640"/>
        <w:gridCol w:w="1640"/>
      </w:tblGrid>
      <w:tr w:rsidR="00176327" w:rsidRPr="00163458" w:rsidTr="00176DBE">
        <w:trPr>
          <w:trHeight w:val="315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176327" w:rsidRPr="00670300" w:rsidRDefault="00176327" w:rsidP="0016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670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 xml:space="preserve">V. </w:t>
            </w:r>
            <w:r w:rsidR="00163458" w:rsidRPr="00670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BANK CARDS</w:t>
            </w:r>
          </w:p>
        </w:tc>
        <w:bookmarkStart w:id="0" w:name="_GoBack"/>
        <w:bookmarkEnd w:id="0"/>
      </w:tr>
      <w:tr w:rsidR="00176327" w:rsidRPr="00163458" w:rsidTr="00670300">
        <w:trPr>
          <w:trHeight w:val="124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6327" w:rsidRPr="00670300" w:rsidRDefault="00163458" w:rsidP="0017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670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Comment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6327" w:rsidRPr="00670300" w:rsidRDefault="00176327" w:rsidP="0017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670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6327" w:rsidRPr="00670300" w:rsidRDefault="00163458" w:rsidP="0017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670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Debit cards</w:t>
            </w:r>
            <w:r w:rsidR="00176327" w:rsidRPr="00670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: Maestro и Visa Electron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6327" w:rsidRPr="00670300" w:rsidRDefault="00163458" w:rsidP="0017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670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Debit cards</w:t>
            </w:r>
            <w:r w:rsidR="00176327" w:rsidRPr="00670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: Debit MasterCard Business</w:t>
            </w:r>
          </w:p>
        </w:tc>
      </w:tr>
      <w:tr w:rsidR="00176327" w:rsidRPr="00163458" w:rsidTr="00670300">
        <w:trPr>
          <w:trHeight w:val="45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27" w:rsidRPr="00670300" w:rsidRDefault="00163458" w:rsidP="0067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6703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New fee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27" w:rsidRPr="00670300" w:rsidRDefault="00163458" w:rsidP="0067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6703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Express delivery abroad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27" w:rsidRPr="00670300" w:rsidRDefault="00176327" w:rsidP="0067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6703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 300 / EUR 150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27" w:rsidRPr="00670300" w:rsidRDefault="00176327" w:rsidP="0067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6703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 300 / EUR 150</w:t>
            </w:r>
          </w:p>
        </w:tc>
      </w:tr>
      <w:tr w:rsidR="00176327" w:rsidRPr="00163458" w:rsidTr="00670300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327" w:rsidRPr="00670300" w:rsidRDefault="00176327" w:rsidP="0067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327" w:rsidRPr="00670300" w:rsidRDefault="00176327" w:rsidP="0067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327" w:rsidRPr="00670300" w:rsidRDefault="00176327" w:rsidP="0067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327" w:rsidRPr="00670300" w:rsidRDefault="00176327" w:rsidP="0067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</w:p>
        </w:tc>
      </w:tr>
      <w:tr w:rsidR="00176327" w:rsidRPr="00163458" w:rsidTr="00670300">
        <w:trPr>
          <w:trHeight w:val="7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7" w:rsidRPr="00670300" w:rsidRDefault="00163458" w:rsidP="0067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6703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New fee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7" w:rsidRPr="00670300" w:rsidRDefault="00163458" w:rsidP="0067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6703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Immediate payment (VPP/</w:t>
            </w:r>
            <w:proofErr w:type="spellStart"/>
            <w:r w:rsidRPr="006703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MoneySend</w:t>
            </w:r>
            <w:proofErr w:type="spellEnd"/>
            <w:r w:rsidRPr="006703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7" w:rsidRPr="00670300" w:rsidRDefault="00176327" w:rsidP="0067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6703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 xml:space="preserve">1% </w:t>
            </w:r>
            <w:r w:rsidR="00F62AF7" w:rsidRPr="0067030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on the amount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7" w:rsidRPr="00670300" w:rsidRDefault="00176327" w:rsidP="0067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6703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 xml:space="preserve">1% </w:t>
            </w:r>
            <w:r w:rsidR="00F62AF7" w:rsidRPr="0067030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on the amount      </w:t>
            </w:r>
          </w:p>
        </w:tc>
      </w:tr>
      <w:tr w:rsidR="00176327" w:rsidRPr="00163458" w:rsidTr="00670300">
        <w:trPr>
          <w:trHeight w:val="7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7" w:rsidRPr="00670300" w:rsidRDefault="00163458" w:rsidP="0067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6703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New fee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7" w:rsidRPr="00670300" w:rsidRDefault="00163458" w:rsidP="0067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6703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Emergency cash advance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7" w:rsidRPr="00670300" w:rsidRDefault="00176327" w:rsidP="0067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6703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7" w:rsidRPr="00670300" w:rsidRDefault="00176327" w:rsidP="0067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6703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 240 / EUR 120</w:t>
            </w:r>
          </w:p>
        </w:tc>
      </w:tr>
    </w:tbl>
    <w:p w:rsidR="00176327" w:rsidRPr="00163458" w:rsidRDefault="00176327" w:rsidP="006E44ED">
      <w:pPr>
        <w:ind w:left="-851"/>
        <w:rPr>
          <w:rFonts w:ascii="Times New Roman" w:hAnsi="Times New Roman" w:cs="Times New Roman"/>
          <w:sz w:val="20"/>
          <w:lang w:val="en-US"/>
        </w:rPr>
      </w:pPr>
    </w:p>
    <w:p w:rsidR="005A08E2" w:rsidRPr="00163458" w:rsidRDefault="005A08E2" w:rsidP="006E44ED">
      <w:pPr>
        <w:ind w:left="-851"/>
        <w:rPr>
          <w:rFonts w:ascii="Times New Roman" w:hAnsi="Times New Roman" w:cs="Times New Roman"/>
          <w:sz w:val="20"/>
          <w:lang w:val="en-US"/>
        </w:rPr>
      </w:pPr>
    </w:p>
    <w:p w:rsidR="004F749A" w:rsidRPr="005A08E2" w:rsidRDefault="0005083E" w:rsidP="005A08E2">
      <w:pPr>
        <w:spacing w:line="240" w:lineRule="auto"/>
        <w:ind w:left="-851"/>
        <w:rPr>
          <w:rFonts w:ascii="Times New Roman" w:hAnsi="Times New Roman" w:cs="Times New Roman"/>
          <w:lang w:val="en-US"/>
        </w:rPr>
      </w:pPr>
      <w:r w:rsidRPr="005A08E2">
        <w:rPr>
          <w:rFonts w:ascii="Times New Roman" w:hAnsi="Times New Roman" w:cs="Times New Roman"/>
          <w:lang w:val="en-US"/>
        </w:rPr>
        <w:t xml:space="preserve"> </w:t>
      </w:r>
    </w:p>
    <w:sectPr w:rsidR="004F749A" w:rsidRPr="005A08E2" w:rsidSect="0005083E">
      <w:footerReference w:type="default" r:id="rId9"/>
      <w:pgSz w:w="16838" w:h="11906" w:orient="landscape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C8" w:rsidRDefault="00B246C8" w:rsidP="00532F85">
      <w:pPr>
        <w:spacing w:after="0" w:line="240" w:lineRule="auto"/>
      </w:pPr>
      <w:r>
        <w:separator/>
      </w:r>
    </w:p>
  </w:endnote>
  <w:endnote w:type="continuationSeparator" w:id="0">
    <w:p w:rsidR="00B246C8" w:rsidRDefault="00B246C8" w:rsidP="0053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102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6FF" w:rsidRDefault="006306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C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6FF" w:rsidRDefault="00630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C8" w:rsidRDefault="00B246C8" w:rsidP="00532F85">
      <w:pPr>
        <w:spacing w:after="0" w:line="240" w:lineRule="auto"/>
      </w:pPr>
      <w:r>
        <w:separator/>
      </w:r>
    </w:p>
  </w:footnote>
  <w:footnote w:type="continuationSeparator" w:id="0">
    <w:p w:rsidR="00B246C8" w:rsidRDefault="00B246C8" w:rsidP="00532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5F92"/>
    <w:multiLevelType w:val="hybridMultilevel"/>
    <w:tmpl w:val="2E083B5A"/>
    <w:lvl w:ilvl="0" w:tplc="BDD4FD04">
      <w:start w:val="3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62"/>
    <w:rsid w:val="000439AE"/>
    <w:rsid w:val="0005083E"/>
    <w:rsid w:val="0007772A"/>
    <w:rsid w:val="000A2102"/>
    <w:rsid w:val="000B6309"/>
    <w:rsid w:val="000E7D88"/>
    <w:rsid w:val="00163458"/>
    <w:rsid w:val="00176327"/>
    <w:rsid w:val="00176DBE"/>
    <w:rsid w:val="001D67B2"/>
    <w:rsid w:val="00226518"/>
    <w:rsid w:val="0025419A"/>
    <w:rsid w:val="00294FA4"/>
    <w:rsid w:val="002B3052"/>
    <w:rsid w:val="002C031C"/>
    <w:rsid w:val="002C7697"/>
    <w:rsid w:val="003224D5"/>
    <w:rsid w:val="00464153"/>
    <w:rsid w:val="004643F9"/>
    <w:rsid w:val="004938B8"/>
    <w:rsid w:val="004D493D"/>
    <w:rsid w:val="004D5045"/>
    <w:rsid w:val="004F749A"/>
    <w:rsid w:val="00532F85"/>
    <w:rsid w:val="005A08E2"/>
    <w:rsid w:val="005C6FBC"/>
    <w:rsid w:val="005F14B9"/>
    <w:rsid w:val="0061528E"/>
    <w:rsid w:val="00625193"/>
    <w:rsid w:val="006306FF"/>
    <w:rsid w:val="006655D1"/>
    <w:rsid w:val="00670300"/>
    <w:rsid w:val="006E44ED"/>
    <w:rsid w:val="00737C91"/>
    <w:rsid w:val="007454EC"/>
    <w:rsid w:val="00770C07"/>
    <w:rsid w:val="007D1AF6"/>
    <w:rsid w:val="007F218D"/>
    <w:rsid w:val="00805F84"/>
    <w:rsid w:val="00826D62"/>
    <w:rsid w:val="00881ABD"/>
    <w:rsid w:val="008C6DF5"/>
    <w:rsid w:val="008E465E"/>
    <w:rsid w:val="00911CBD"/>
    <w:rsid w:val="0092790E"/>
    <w:rsid w:val="00995881"/>
    <w:rsid w:val="00A40190"/>
    <w:rsid w:val="00AA529D"/>
    <w:rsid w:val="00AD3A2B"/>
    <w:rsid w:val="00AE340C"/>
    <w:rsid w:val="00B246C8"/>
    <w:rsid w:val="00B560C5"/>
    <w:rsid w:val="00B822A8"/>
    <w:rsid w:val="00BA4840"/>
    <w:rsid w:val="00BC0E0A"/>
    <w:rsid w:val="00C758D1"/>
    <w:rsid w:val="00C863B8"/>
    <w:rsid w:val="00D3205A"/>
    <w:rsid w:val="00D353D1"/>
    <w:rsid w:val="00D6507E"/>
    <w:rsid w:val="00DB26A4"/>
    <w:rsid w:val="00E403F8"/>
    <w:rsid w:val="00EA5B29"/>
    <w:rsid w:val="00F11192"/>
    <w:rsid w:val="00F3178E"/>
    <w:rsid w:val="00F54060"/>
    <w:rsid w:val="00F62AF7"/>
    <w:rsid w:val="00F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5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29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85"/>
  </w:style>
  <w:style w:type="paragraph" w:styleId="Footer">
    <w:name w:val="footer"/>
    <w:basedOn w:val="Normal"/>
    <w:link w:val="FooterChar"/>
    <w:uiPriority w:val="99"/>
    <w:unhideWhenUsed/>
    <w:rsid w:val="0053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5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29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85"/>
  </w:style>
  <w:style w:type="paragraph" w:styleId="Footer">
    <w:name w:val="footer"/>
    <w:basedOn w:val="Normal"/>
    <w:link w:val="FooterChar"/>
    <w:uiPriority w:val="99"/>
    <w:unhideWhenUsed/>
    <w:rsid w:val="0053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0268-06B3-41FD-A4E5-90704B23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Eurobank EFG BG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V. Stankova</dc:creator>
  <cp:lastModifiedBy>Polina V. Stankova</cp:lastModifiedBy>
  <cp:revision>4</cp:revision>
  <dcterms:created xsi:type="dcterms:W3CDTF">2015-07-29T08:33:00Z</dcterms:created>
  <dcterms:modified xsi:type="dcterms:W3CDTF">2015-07-29T08:38:00Z</dcterms:modified>
</cp:coreProperties>
</file>